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AAE" w:rsidRPr="00691BC7" w:rsidRDefault="005F4AAE" w:rsidP="00AD3EBD">
      <w:pPr>
        <w:outlineLvl w:val="0"/>
        <w:rPr>
          <w:rFonts w:cs="Arial"/>
          <w:b/>
          <w:sz w:val="22"/>
          <w:szCs w:val="22"/>
          <w:lang w:eastAsia="en-GB"/>
        </w:rPr>
      </w:pPr>
    </w:p>
    <w:p w:rsidR="005F4AAE" w:rsidRPr="00691BC7" w:rsidRDefault="005F4AAE" w:rsidP="00AD3EBD">
      <w:pPr>
        <w:outlineLvl w:val="0"/>
        <w:rPr>
          <w:rFonts w:cs="Arial"/>
          <w:b/>
          <w:sz w:val="22"/>
          <w:szCs w:val="22"/>
          <w:lang w:eastAsia="en-GB"/>
        </w:rPr>
      </w:pPr>
    </w:p>
    <w:p w:rsidR="005F4AAE" w:rsidRPr="00691BC7" w:rsidRDefault="005F4AAE" w:rsidP="00AD3EBD">
      <w:pPr>
        <w:outlineLvl w:val="0"/>
        <w:rPr>
          <w:rFonts w:cs="Arial"/>
          <w:b/>
          <w:sz w:val="22"/>
          <w:szCs w:val="22"/>
          <w:lang w:eastAsia="en-GB"/>
        </w:rPr>
      </w:pPr>
    </w:p>
    <w:p w:rsidR="005F4AAE" w:rsidRPr="00691BC7" w:rsidRDefault="005F4AAE" w:rsidP="00AD3EBD">
      <w:pPr>
        <w:outlineLvl w:val="0"/>
        <w:rPr>
          <w:rFonts w:cs="Arial"/>
          <w:b/>
          <w:sz w:val="22"/>
          <w:szCs w:val="22"/>
          <w:lang w:eastAsia="en-GB"/>
        </w:rPr>
      </w:pPr>
    </w:p>
    <w:p w:rsidR="00AD3EBD" w:rsidRDefault="00AD3EBD" w:rsidP="00AD3EBD">
      <w:pPr>
        <w:outlineLvl w:val="0"/>
        <w:rPr>
          <w:rFonts w:cs="Arial"/>
          <w:b/>
          <w:sz w:val="22"/>
          <w:szCs w:val="22"/>
          <w:lang w:eastAsia="en-GB"/>
        </w:rPr>
      </w:pPr>
      <w:r w:rsidRPr="00691BC7">
        <w:rPr>
          <w:rFonts w:cs="Arial"/>
          <w:b/>
          <w:sz w:val="22"/>
          <w:szCs w:val="22"/>
          <w:lang w:eastAsia="en-GB"/>
        </w:rPr>
        <w:t>Appendix</w:t>
      </w:r>
      <w:r w:rsidR="00691BC7" w:rsidRPr="00691BC7">
        <w:rPr>
          <w:rFonts w:cs="Arial"/>
          <w:b/>
          <w:sz w:val="22"/>
          <w:szCs w:val="22"/>
          <w:lang w:eastAsia="en-GB"/>
        </w:rPr>
        <w:t xml:space="preserve"> A</w:t>
      </w:r>
      <w:r w:rsidRPr="00691BC7">
        <w:rPr>
          <w:rFonts w:cs="Arial"/>
          <w:b/>
          <w:sz w:val="22"/>
          <w:szCs w:val="22"/>
          <w:lang w:eastAsia="en-GB"/>
        </w:rPr>
        <w:t xml:space="preserve">   CEB Report Risk Register         Compulsory Purchase </w:t>
      </w:r>
    </w:p>
    <w:p w:rsidR="00691BC7" w:rsidRPr="00691BC7" w:rsidRDefault="00691BC7" w:rsidP="00AD3EBD">
      <w:pPr>
        <w:outlineLvl w:val="0"/>
        <w:rPr>
          <w:rFonts w:cs="Arial"/>
          <w:b/>
          <w:sz w:val="22"/>
          <w:szCs w:val="22"/>
          <w:lang w:eastAsia="en-GB"/>
        </w:rPr>
      </w:pPr>
    </w:p>
    <w:tbl>
      <w:tblPr>
        <w:tblW w:w="15669" w:type="dxa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69"/>
      </w:tblGrid>
      <w:tr w:rsidR="00AD3EBD" w:rsidRPr="00691BC7" w:rsidTr="00C21A15">
        <w:trPr>
          <w:trHeight w:val="294"/>
        </w:trPr>
        <w:tc>
          <w:tcPr>
            <w:tcW w:w="15669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Risk Score </w:t>
            </w:r>
            <w:r w:rsidRPr="00691BC7">
              <w:rPr>
                <w:rFonts w:cs="Arial"/>
                <w:b/>
                <w:sz w:val="22"/>
                <w:szCs w:val="22"/>
                <w:lang w:eastAsia="en-GB"/>
              </w:rPr>
              <w:t>Impact Score</w:t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: 1 =Insignificant; 2 = Minor; 3 = Moderate; 4 = Major; 5 = Catastrophic      </w:t>
            </w:r>
            <w:r w:rsidRPr="00691BC7">
              <w:rPr>
                <w:rFonts w:cs="Arial"/>
                <w:b/>
                <w:sz w:val="22"/>
                <w:szCs w:val="22"/>
                <w:lang w:eastAsia="en-GB"/>
              </w:rPr>
              <w:t>Probability Score:</w:t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 1 = Rare; 2 = Unlikely; 3 = Possible; 4 = Likely; 5 = Almost Certain</w:t>
            </w:r>
          </w:p>
        </w:tc>
      </w:tr>
    </w:tbl>
    <w:p w:rsidR="00AD3EBD" w:rsidRPr="00691BC7" w:rsidRDefault="00AD3EBD" w:rsidP="00AD3EBD">
      <w:pPr>
        <w:rPr>
          <w:rFonts w:cs="Arial"/>
          <w:sz w:val="22"/>
          <w:szCs w:val="22"/>
          <w:lang w:eastAsia="en-GB"/>
        </w:rPr>
      </w:pPr>
    </w:p>
    <w:tbl>
      <w:tblPr>
        <w:tblW w:w="15669" w:type="dxa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2172"/>
        <w:gridCol w:w="360"/>
        <w:gridCol w:w="360"/>
        <w:gridCol w:w="2340"/>
        <w:gridCol w:w="2520"/>
        <w:gridCol w:w="360"/>
        <w:gridCol w:w="360"/>
        <w:gridCol w:w="2520"/>
        <w:gridCol w:w="1866"/>
        <w:gridCol w:w="352"/>
        <w:gridCol w:w="352"/>
        <w:gridCol w:w="352"/>
        <w:gridCol w:w="318"/>
        <w:gridCol w:w="360"/>
        <w:gridCol w:w="540"/>
      </w:tblGrid>
      <w:tr w:rsidR="00AD3EBD" w:rsidRPr="00691BC7" w:rsidTr="00C21A15">
        <w:trPr>
          <w:trHeight w:val="644"/>
        </w:trPr>
        <w:tc>
          <w:tcPr>
            <w:tcW w:w="537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No.</w:t>
            </w:r>
          </w:p>
        </w:tc>
        <w:tc>
          <w:tcPr>
            <w:tcW w:w="2172" w:type="dxa"/>
            <w:shd w:val="clear" w:color="auto" w:fill="FFFF99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Risk Description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Link to Corporate </w:t>
            </w:r>
            <w:proofErr w:type="spellStart"/>
            <w:r w:rsidRPr="00691BC7">
              <w:rPr>
                <w:rFonts w:cs="Arial"/>
                <w:sz w:val="22"/>
                <w:szCs w:val="22"/>
                <w:lang w:eastAsia="en-GB"/>
              </w:rPr>
              <w:t>Obj</w:t>
            </w:r>
            <w:proofErr w:type="spellEnd"/>
          </w:p>
        </w:tc>
        <w:tc>
          <w:tcPr>
            <w:tcW w:w="720" w:type="dxa"/>
            <w:gridSpan w:val="2"/>
            <w:shd w:val="clear" w:color="auto" w:fill="FFFF99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Gross Risk</w:t>
            </w:r>
          </w:p>
        </w:tc>
        <w:tc>
          <w:tcPr>
            <w:tcW w:w="2340" w:type="dxa"/>
            <w:shd w:val="clear" w:color="auto" w:fill="CCFFFF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Cause of Risk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2520" w:type="dxa"/>
            <w:shd w:val="clear" w:color="auto" w:fill="CCFFFF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Mitigation</w:t>
            </w:r>
          </w:p>
        </w:tc>
        <w:tc>
          <w:tcPr>
            <w:tcW w:w="720" w:type="dxa"/>
            <w:gridSpan w:val="2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Net Risk</w:t>
            </w:r>
          </w:p>
        </w:tc>
        <w:tc>
          <w:tcPr>
            <w:tcW w:w="4386" w:type="dxa"/>
            <w:gridSpan w:val="2"/>
            <w:shd w:val="clear" w:color="auto" w:fill="FF99CC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Further Management of Risk: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Transfer/Accept/Reduce/Avoid</w:t>
            </w:r>
          </w:p>
        </w:tc>
        <w:tc>
          <w:tcPr>
            <w:tcW w:w="1374" w:type="dxa"/>
            <w:gridSpan w:val="4"/>
            <w:shd w:val="clear" w:color="auto" w:fill="99CC00"/>
          </w:tcPr>
          <w:p w:rsidR="00AD3EBD" w:rsidRPr="00691BC7" w:rsidRDefault="00AD3EBD" w:rsidP="00C21A15">
            <w:pPr>
              <w:jc w:val="center"/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Monitoring Effectiveness</w:t>
            </w:r>
          </w:p>
        </w:tc>
        <w:tc>
          <w:tcPr>
            <w:tcW w:w="900" w:type="dxa"/>
            <w:gridSpan w:val="2"/>
            <w:shd w:val="clear" w:color="auto" w:fill="99CC00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Current Risk</w:t>
            </w:r>
          </w:p>
        </w:tc>
      </w:tr>
      <w:tr w:rsidR="00AD3EBD" w:rsidRPr="00691BC7" w:rsidTr="00C21A15">
        <w:trPr>
          <w:trHeight w:val="1241"/>
        </w:trPr>
        <w:tc>
          <w:tcPr>
            <w:tcW w:w="537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2172" w:type="dxa"/>
            <w:shd w:val="clear" w:color="auto" w:fill="FFFF99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  <w:shd w:val="clear" w:color="auto" w:fill="FFFF99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I</w:t>
            </w:r>
          </w:p>
        </w:tc>
        <w:tc>
          <w:tcPr>
            <w:tcW w:w="360" w:type="dxa"/>
            <w:shd w:val="clear" w:color="auto" w:fill="FFFF99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P</w:t>
            </w:r>
          </w:p>
        </w:tc>
        <w:tc>
          <w:tcPr>
            <w:tcW w:w="2340" w:type="dxa"/>
            <w:shd w:val="clear" w:color="auto" w:fill="CCFFFF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2520" w:type="dxa"/>
            <w:shd w:val="clear" w:color="auto" w:fill="CCFFFF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Mitigating Control: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Level of Effectiveness: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(HML)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I</w:t>
            </w:r>
          </w:p>
        </w:tc>
        <w:tc>
          <w:tcPr>
            <w:tcW w:w="36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P</w:t>
            </w:r>
          </w:p>
        </w:tc>
        <w:tc>
          <w:tcPr>
            <w:tcW w:w="2520" w:type="dxa"/>
            <w:shd w:val="clear" w:color="auto" w:fill="FF99CC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Action: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Action Owner: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Mitigating Control: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Control Owner:</w:t>
            </w:r>
          </w:p>
        </w:tc>
        <w:tc>
          <w:tcPr>
            <w:tcW w:w="1866" w:type="dxa"/>
            <w:shd w:val="clear" w:color="auto" w:fill="FF99CC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Outcome required: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Milestone Date:</w:t>
            </w:r>
          </w:p>
        </w:tc>
        <w:tc>
          <w:tcPr>
            <w:tcW w:w="352" w:type="dxa"/>
            <w:shd w:val="clear" w:color="auto" w:fill="99CC00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Q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1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C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B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A"/>
            </w:r>
          </w:p>
        </w:tc>
        <w:tc>
          <w:tcPr>
            <w:tcW w:w="352" w:type="dxa"/>
            <w:shd w:val="clear" w:color="auto" w:fill="99CC00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Q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2</w:t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C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B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A"/>
            </w:r>
          </w:p>
        </w:tc>
        <w:tc>
          <w:tcPr>
            <w:tcW w:w="352" w:type="dxa"/>
            <w:shd w:val="clear" w:color="auto" w:fill="99CC00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Q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3</w:t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C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B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A"/>
            </w:r>
          </w:p>
        </w:tc>
        <w:tc>
          <w:tcPr>
            <w:tcW w:w="318" w:type="dxa"/>
            <w:shd w:val="clear" w:color="auto" w:fill="99CC00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Q4</w:t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C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B"/>
            </w:r>
            <w:r w:rsidRPr="00691BC7">
              <w:rPr>
                <w:rFonts w:cs="Arial"/>
                <w:sz w:val="22"/>
                <w:szCs w:val="22"/>
                <w:lang w:eastAsia="en-GB"/>
              </w:rPr>
              <w:sym w:font="Wingdings" w:char="F04A"/>
            </w:r>
          </w:p>
        </w:tc>
        <w:tc>
          <w:tcPr>
            <w:tcW w:w="360" w:type="dxa"/>
            <w:shd w:val="clear" w:color="auto" w:fill="99CC00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I</w:t>
            </w:r>
          </w:p>
        </w:tc>
        <w:tc>
          <w:tcPr>
            <w:tcW w:w="540" w:type="dxa"/>
            <w:shd w:val="clear" w:color="auto" w:fill="99CC00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P</w:t>
            </w:r>
          </w:p>
        </w:tc>
      </w:tr>
      <w:tr w:rsidR="00AD3EBD" w:rsidRPr="00691BC7" w:rsidTr="00C21A15">
        <w:trPr>
          <w:trHeight w:val="1241"/>
        </w:trPr>
        <w:tc>
          <w:tcPr>
            <w:tcW w:w="537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217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Financial Costs </w:t>
            </w:r>
          </w:p>
        </w:tc>
        <w:tc>
          <w:tcPr>
            <w:tcW w:w="36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234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Cost incurred as a result of </w:t>
            </w:r>
            <w:r w:rsidR="00943553" w:rsidRPr="00691BC7">
              <w:rPr>
                <w:rFonts w:cs="Arial"/>
                <w:sz w:val="22"/>
                <w:szCs w:val="22"/>
                <w:lang w:eastAsia="en-GB"/>
              </w:rPr>
              <w:t>Compulsory purchase process higher than estimated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Abortive costs if CPO application rejected.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Compensation costs higher than estimated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252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Early and full involvement of Legal. (M)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Sound justification for taking formal action and full professional advice (M)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Professional advice obtained (M)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252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Reduce through regular and full involvement with legal, services, </w:t>
            </w:r>
            <w:proofErr w:type="spellStart"/>
            <w:r w:rsidRPr="00691BC7">
              <w:rPr>
                <w:rFonts w:cs="Arial"/>
                <w:sz w:val="22"/>
                <w:szCs w:val="22"/>
                <w:lang w:eastAsia="en-GB"/>
              </w:rPr>
              <w:t>incl</w:t>
            </w:r>
            <w:proofErr w:type="spellEnd"/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 external advocacy.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Reduce through detailed and appropriate professional advice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Reduce through detailed and appropriate professional advice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1866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Outcome required: Cost effectiveness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No abortive costs</w:t>
            </w: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Costs in line with budget</w:t>
            </w: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18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54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</w:tr>
      <w:tr w:rsidR="00AD3EBD" w:rsidRPr="00691BC7" w:rsidTr="00C21A15">
        <w:trPr>
          <w:trHeight w:val="1241"/>
        </w:trPr>
        <w:tc>
          <w:tcPr>
            <w:tcW w:w="537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217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CPO request denied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2340" w:type="dxa"/>
          </w:tcPr>
          <w:p w:rsidR="00AD3EBD" w:rsidRPr="00691BC7" w:rsidRDefault="00AD3EBD" w:rsidP="00AD3EBD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Insufficient environmental, economic or social benefits leading Secretary of state to reject</w:t>
            </w:r>
            <w:r w:rsidR="00943553" w:rsidRPr="00691BC7">
              <w:rPr>
                <w:rFonts w:cs="Arial"/>
                <w:sz w:val="22"/>
                <w:szCs w:val="22"/>
                <w:lang w:eastAsia="en-GB"/>
              </w:rPr>
              <w:t xml:space="preserve"> Order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An objector  raises issues that persuade the Secretary of State to reject or modify the Order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52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lastRenderedPageBreak/>
              <w:t>Sound justification for order supported by professional advice (M)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The adherence to the correct procedures and adoption of best practice at all stages. (M)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2520" w:type="dxa"/>
          </w:tcPr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Reduce through detailed professional advice </w:t>
            </w: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AD3EBD" w:rsidRPr="00691BC7" w:rsidRDefault="00943553" w:rsidP="00943553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Reduce through c</w:t>
            </w:r>
            <w:r w:rsidR="00AD3EBD" w:rsidRPr="00691BC7">
              <w:rPr>
                <w:rFonts w:cs="Arial"/>
                <w:sz w:val="22"/>
                <w:szCs w:val="22"/>
                <w:lang w:eastAsia="en-GB"/>
              </w:rPr>
              <w:t xml:space="preserve">lose liaison with Legal Services or consultants at all stages </w:t>
            </w:r>
          </w:p>
        </w:tc>
        <w:tc>
          <w:tcPr>
            <w:tcW w:w="1866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proofErr w:type="spellStart"/>
            <w:r w:rsidRPr="00691BC7">
              <w:rPr>
                <w:rFonts w:cs="Arial"/>
                <w:sz w:val="22"/>
                <w:szCs w:val="22"/>
                <w:lang w:eastAsia="en-GB"/>
              </w:rPr>
              <w:t>SoS</w:t>
            </w:r>
            <w:proofErr w:type="spellEnd"/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 grants CPO.</w:t>
            </w: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  <w:p w:rsidR="00943553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proofErr w:type="spellStart"/>
            <w:r w:rsidRPr="00691BC7">
              <w:rPr>
                <w:rFonts w:cs="Arial"/>
                <w:sz w:val="22"/>
                <w:szCs w:val="22"/>
                <w:lang w:eastAsia="en-GB"/>
              </w:rPr>
              <w:t>SoS</w:t>
            </w:r>
            <w:proofErr w:type="spellEnd"/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 grants CPO</w:t>
            </w: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18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54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</w:tr>
      <w:tr w:rsidR="00AD3EBD" w:rsidRPr="00691BC7" w:rsidTr="00C21A15">
        <w:trPr>
          <w:trHeight w:val="1241"/>
        </w:trPr>
        <w:tc>
          <w:tcPr>
            <w:tcW w:w="537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lastRenderedPageBreak/>
              <w:t>3</w:t>
            </w:r>
          </w:p>
        </w:tc>
        <w:tc>
          <w:tcPr>
            <w:tcW w:w="217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Adverse Publicity 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234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Use of CPO powers viewed adversely by public</w:t>
            </w:r>
          </w:p>
        </w:tc>
        <w:tc>
          <w:tcPr>
            <w:tcW w:w="252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Provide transparent and clear explanation of the reasons for taking formal action.</w:t>
            </w:r>
            <w:r w:rsidR="00943553" w:rsidRPr="00691BC7">
              <w:rPr>
                <w:rFonts w:cs="Arial"/>
                <w:sz w:val="22"/>
                <w:szCs w:val="22"/>
                <w:lang w:eastAsia="en-GB"/>
              </w:rPr>
              <w:t xml:space="preserve"> (M)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Encourage positive press through contact with local media. (M)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360" w:type="dxa"/>
          </w:tcPr>
          <w:p w:rsidR="00AD3EBD" w:rsidRPr="00691BC7" w:rsidRDefault="00943553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252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Action: Regular updates provided to media on empty properties brought back into use and action taken to bring them back into use.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. </w:t>
            </w:r>
          </w:p>
        </w:tc>
        <w:tc>
          <w:tcPr>
            <w:tcW w:w="1866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  <w:r w:rsidRPr="00691BC7">
              <w:rPr>
                <w:rFonts w:cs="Arial"/>
                <w:sz w:val="22"/>
                <w:szCs w:val="22"/>
                <w:lang w:eastAsia="en-GB"/>
              </w:rPr>
              <w:t xml:space="preserve">Positive Press </w:t>
            </w:r>
          </w:p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52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18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540" w:type="dxa"/>
          </w:tcPr>
          <w:p w:rsidR="00AD3EBD" w:rsidRPr="00691BC7" w:rsidRDefault="00AD3EBD" w:rsidP="00C21A15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</w:tr>
    </w:tbl>
    <w:p w:rsidR="00AD3EBD" w:rsidRPr="00691BC7" w:rsidRDefault="00AD3EBD" w:rsidP="00AD3EBD">
      <w:pPr>
        <w:rPr>
          <w:rFonts w:cs="Arial"/>
          <w:bCs/>
          <w:sz w:val="22"/>
          <w:szCs w:val="22"/>
        </w:rPr>
      </w:pPr>
    </w:p>
    <w:p w:rsidR="005F4AAE" w:rsidRPr="00691BC7" w:rsidRDefault="005F4AAE" w:rsidP="00AD3EBD">
      <w:pPr>
        <w:rPr>
          <w:rFonts w:cs="Arial"/>
          <w:bCs/>
          <w:sz w:val="22"/>
          <w:szCs w:val="22"/>
        </w:rPr>
      </w:pPr>
    </w:p>
    <w:p w:rsidR="005F4AAE" w:rsidRPr="00691BC7" w:rsidRDefault="005F4AAE" w:rsidP="00AD3EBD">
      <w:pPr>
        <w:rPr>
          <w:rFonts w:cs="Arial"/>
          <w:bCs/>
          <w:sz w:val="22"/>
          <w:szCs w:val="22"/>
        </w:rPr>
      </w:pPr>
    </w:p>
    <w:p w:rsidR="005F4AAE" w:rsidRPr="00691BC7" w:rsidRDefault="005F4AAE" w:rsidP="00AD3EBD">
      <w:pPr>
        <w:rPr>
          <w:rFonts w:cs="Arial"/>
          <w:bCs/>
          <w:sz w:val="22"/>
          <w:szCs w:val="22"/>
        </w:rPr>
      </w:pPr>
    </w:p>
    <w:p w:rsidR="00691BC7" w:rsidRDefault="00691BC7" w:rsidP="00AD3EBD">
      <w:pPr>
        <w:rPr>
          <w:rFonts w:cs="Arial"/>
          <w:bCs/>
          <w:sz w:val="22"/>
          <w:szCs w:val="22"/>
        </w:rPr>
        <w:sectPr w:rsidR="00691BC7" w:rsidSect="005F28E4">
          <w:pgSz w:w="16838" w:h="11906" w:orient="landscape"/>
          <w:pgMar w:top="0" w:right="1440" w:bottom="284" w:left="1440" w:header="709" w:footer="709" w:gutter="0"/>
          <w:cols w:space="708"/>
          <w:docGrid w:linePitch="360"/>
        </w:sectPr>
      </w:pPr>
    </w:p>
    <w:p w:rsidR="005F4AAE" w:rsidRPr="00691BC7" w:rsidRDefault="005F4AAE" w:rsidP="00AD3EBD">
      <w:pPr>
        <w:rPr>
          <w:rFonts w:cs="Arial"/>
          <w:bCs/>
          <w:sz w:val="22"/>
          <w:szCs w:val="22"/>
        </w:rPr>
      </w:pPr>
    </w:p>
    <w:p w:rsidR="008A22C6" w:rsidRPr="00691BC7" w:rsidRDefault="00F776BA" w:rsidP="00943553">
      <w:pPr>
        <w:rPr>
          <w:rFonts w:cs="Arial"/>
          <w:sz w:val="22"/>
          <w:szCs w:val="22"/>
        </w:rPr>
      </w:pPr>
      <w:r w:rsidRPr="00691BC7"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709C1476" wp14:editId="2EC9D83F">
            <wp:extent cx="5731510" cy="8104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AE" w:rsidRPr="00691BC7" w:rsidRDefault="005F4AAE" w:rsidP="00943553">
      <w:pPr>
        <w:rPr>
          <w:rFonts w:cs="Arial"/>
          <w:sz w:val="22"/>
          <w:szCs w:val="22"/>
        </w:rPr>
      </w:pPr>
    </w:p>
    <w:p w:rsidR="005F4AAE" w:rsidRPr="00691BC7" w:rsidRDefault="005F4AAE" w:rsidP="00943553">
      <w:pPr>
        <w:rPr>
          <w:rFonts w:cs="Arial"/>
          <w:sz w:val="22"/>
          <w:szCs w:val="22"/>
        </w:rPr>
      </w:pPr>
    </w:p>
    <w:p w:rsidR="005F4AAE" w:rsidRPr="00691BC7" w:rsidRDefault="005F4AAE" w:rsidP="00943553">
      <w:pPr>
        <w:rPr>
          <w:rFonts w:cs="Arial"/>
          <w:sz w:val="22"/>
          <w:szCs w:val="22"/>
        </w:rPr>
      </w:pPr>
    </w:p>
    <w:p w:rsidR="005F4AAE" w:rsidRPr="00691BC7" w:rsidRDefault="005F4AAE" w:rsidP="00943553">
      <w:pPr>
        <w:rPr>
          <w:rFonts w:cs="Arial"/>
          <w:sz w:val="22"/>
          <w:szCs w:val="22"/>
        </w:rPr>
      </w:pPr>
    </w:p>
    <w:p w:rsidR="005F4AAE" w:rsidRPr="00691BC7" w:rsidRDefault="005F4AAE" w:rsidP="00943553">
      <w:pPr>
        <w:rPr>
          <w:rFonts w:cs="Arial"/>
          <w:sz w:val="22"/>
          <w:szCs w:val="22"/>
        </w:rPr>
      </w:pPr>
      <w:r w:rsidRPr="00691BC7"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1079B996" wp14:editId="28D17B06">
            <wp:extent cx="5731510" cy="81046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AAE" w:rsidRPr="00691BC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AAE" w:rsidRDefault="005F4AAE" w:rsidP="005F4AAE">
      <w:r>
        <w:separator/>
      </w:r>
    </w:p>
  </w:endnote>
  <w:endnote w:type="continuationSeparator" w:id="0">
    <w:p w:rsidR="005F4AAE" w:rsidRDefault="005F4AAE" w:rsidP="005F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AAE" w:rsidRDefault="005F4AAE" w:rsidP="005F4AAE">
      <w:r>
        <w:separator/>
      </w:r>
    </w:p>
  </w:footnote>
  <w:footnote w:type="continuationSeparator" w:id="0">
    <w:p w:rsidR="005F4AAE" w:rsidRDefault="005F4AAE" w:rsidP="005F4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BC7" w:rsidRPr="00691BC7" w:rsidRDefault="00691BC7">
    <w:pPr>
      <w:pStyle w:val="Header"/>
      <w:rPr>
        <w:b/>
      </w:rPr>
    </w:pPr>
    <w:r>
      <w:rPr>
        <w:b/>
      </w:rPr>
      <w:t>Appendix 2: Site Plan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C427E"/>
    <w:multiLevelType w:val="hybridMultilevel"/>
    <w:tmpl w:val="726ABC3C"/>
    <w:lvl w:ilvl="0" w:tplc="E1E6EE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EBD"/>
    <w:rsid w:val="00034123"/>
    <w:rsid w:val="000B4310"/>
    <w:rsid w:val="004000D7"/>
    <w:rsid w:val="00504E43"/>
    <w:rsid w:val="005F4AAE"/>
    <w:rsid w:val="00691BC7"/>
    <w:rsid w:val="00700859"/>
    <w:rsid w:val="007908F4"/>
    <w:rsid w:val="008A22C6"/>
    <w:rsid w:val="00943553"/>
    <w:rsid w:val="00AD3EBD"/>
    <w:rsid w:val="00C07F80"/>
    <w:rsid w:val="00F776BA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EBD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E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6B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4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AAE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F4A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AAE"/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EBD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E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6B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4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AAE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F4A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AAE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2D924-FFD8-4BC3-A591-FA17A5964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ED54B554.dotm</Template>
  <TotalTime>12</TotalTime>
  <Pages>4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MikeW.Scott</dc:creator>
  <cp:lastModifiedBy>Sarah.Claridge</cp:lastModifiedBy>
  <cp:revision>3</cp:revision>
  <dcterms:created xsi:type="dcterms:W3CDTF">2015-01-12T12:53:00Z</dcterms:created>
  <dcterms:modified xsi:type="dcterms:W3CDTF">2015-01-20T11:11:00Z</dcterms:modified>
</cp:coreProperties>
</file>